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C0" w:rsidRPr="006E6CEA" w:rsidRDefault="000B0132" w:rsidP="006E6CEA">
      <w:pPr>
        <w:keepNext/>
        <w:tabs>
          <w:tab w:val="left" w:pos="180"/>
        </w:tabs>
        <w:autoSpaceDE w:val="0"/>
        <w:autoSpaceDN w:val="0"/>
        <w:adjustRightInd w:val="0"/>
        <w:spacing w:line="480" w:lineRule="auto"/>
        <w:jc w:val="lowKashida"/>
        <w:rPr>
          <w:i/>
        </w:rPr>
      </w:pPr>
      <w:r>
        <w:rPr>
          <w:bCs/>
          <w:noProof/>
          <w:lang w:eastAsia="en-GB"/>
        </w:rPr>
        <w:drawing>
          <wp:inline distT="0" distB="0" distL="0" distR="0" wp14:anchorId="5A11BA3A" wp14:editId="75222F57">
            <wp:extent cx="5731510" cy="288036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12235B">
        <w:rPr>
          <w:b/>
          <w:bCs/>
        </w:rPr>
        <w:t>Supplementary Fig 1.</w:t>
      </w:r>
      <w:proofErr w:type="gramEnd"/>
      <w:r w:rsidRPr="000076B9">
        <w:t xml:space="preserve"> Immunohistochemistry of </w:t>
      </w:r>
      <w:proofErr w:type="spellStart"/>
      <w:r w:rsidRPr="000076B9">
        <w:t>cytospun</w:t>
      </w:r>
      <w:proofErr w:type="spellEnd"/>
      <w:r w:rsidRPr="000076B9">
        <w:t xml:space="preserve"> monolayer MSCs at time point zero, prior to hydrogel incorporation for </w:t>
      </w:r>
      <w:proofErr w:type="spellStart"/>
      <w:r w:rsidRPr="000076B9">
        <w:t>aggrecan</w:t>
      </w:r>
      <w:proofErr w:type="spellEnd"/>
      <w:r w:rsidRPr="000076B9">
        <w:t xml:space="preserve"> (A), Chondroitin Sulphate (B) and collagen type II (C). Immunohistochemistry </w:t>
      </w:r>
      <w:proofErr w:type="spellStart"/>
      <w:r w:rsidRPr="000076B9">
        <w:t>IgG</w:t>
      </w:r>
      <w:proofErr w:type="spellEnd"/>
      <w:r w:rsidRPr="000076B9">
        <w:t xml:space="preserve"> negative controls of NP tissue explants for </w:t>
      </w:r>
      <w:proofErr w:type="spellStart"/>
      <w:r w:rsidRPr="000076B9">
        <w:t>aggrecan</w:t>
      </w:r>
      <w:proofErr w:type="spellEnd"/>
      <w:r w:rsidRPr="000076B9">
        <w:t xml:space="preserve"> (D), chondroitin sulphate (B) and collagen type II (F). </w:t>
      </w:r>
      <w:r w:rsidRPr="009C4053">
        <w:rPr>
          <w:i/>
        </w:rPr>
        <w:t>Scale bar 100µm.</w:t>
      </w:r>
      <w:bookmarkStart w:id="0" w:name="_GoBack"/>
      <w:bookmarkEnd w:id="0"/>
    </w:p>
    <w:sectPr w:rsidR="00C014C0" w:rsidRPr="006E6CEA" w:rsidSect="000672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A5" w:rsidRDefault="006E6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141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EA5" w:rsidRDefault="006E6C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EA5" w:rsidRDefault="006E6C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A5" w:rsidRDefault="006E6C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A5" w:rsidRDefault="006E6C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A5" w:rsidRDefault="006E6C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A5" w:rsidRDefault="006E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32"/>
    <w:rsid w:val="000B0132"/>
    <w:rsid w:val="00543990"/>
    <w:rsid w:val="006651EC"/>
    <w:rsid w:val="006E6CEA"/>
    <w:rsid w:val="00C014C0"/>
    <w:rsid w:val="00CB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32"/>
    <w:rPr>
      <w:rFonts w:ascii="Arial" w:eastAsiaTheme="minorEastAsia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32"/>
    <w:rPr>
      <w:rFonts w:ascii="Arial" w:eastAsiaTheme="minorEastAsia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B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32"/>
    <w:rPr>
      <w:rFonts w:ascii="Arial" w:eastAsiaTheme="minorEastAsia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32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32"/>
    <w:rPr>
      <w:rFonts w:ascii="Arial" w:eastAsiaTheme="minorEastAsia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132"/>
    <w:rPr>
      <w:rFonts w:ascii="Arial" w:eastAsiaTheme="minorEastAsia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0B0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132"/>
    <w:rPr>
      <w:rFonts w:ascii="Arial" w:eastAsiaTheme="minorEastAsia" w:hAnsi="Arial" w:cs="Arial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32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</dc:creator>
  <cp:lastModifiedBy>abbey</cp:lastModifiedBy>
  <cp:revision>2</cp:revision>
  <dcterms:created xsi:type="dcterms:W3CDTF">2016-11-01T14:31:00Z</dcterms:created>
  <dcterms:modified xsi:type="dcterms:W3CDTF">2016-11-01T14:31:00Z</dcterms:modified>
</cp:coreProperties>
</file>